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EC" w:rsidRDefault="00CE1CF3">
      <w:pPr>
        <w:spacing w:after="0" w:line="240" w:lineRule="auto"/>
        <w:ind w:left="48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br/>
        <w:t>к Приказу Генерального директора</w:t>
      </w:r>
      <w:r>
        <w:rPr>
          <w:rFonts w:ascii="Arial" w:hAnsi="Arial" w:cs="Arial"/>
          <w:sz w:val="24"/>
          <w:szCs w:val="24"/>
        </w:rPr>
        <w:br/>
        <w:t>Общества с ограниченной ответственностью</w:t>
      </w:r>
    </w:p>
    <w:p w:rsidR="00BA00EC" w:rsidRDefault="00CE1CF3">
      <w:pPr>
        <w:spacing w:after="0" w:line="240" w:lineRule="auto"/>
        <w:ind w:left="48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«Крымская первая страховая компания»</w:t>
      </w:r>
    </w:p>
    <w:p w:rsidR="00BA00EC" w:rsidRDefault="00CE1CF3" w:rsidP="00AE0361">
      <w:pPr>
        <w:spacing w:after="0" w:line="240" w:lineRule="auto"/>
        <w:ind w:left="48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от «05» августа 2014 года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3/11</w:t>
      </w:r>
    </w:p>
    <w:p w:rsidR="00BA00EC" w:rsidRDefault="00BA00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00EC" w:rsidRDefault="00BA00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00EC" w:rsidRDefault="00CE1C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Политика ОБЩЕСТВА С ОГРАНИЧЕННОЙ ОТВЕТСТВЕННОСТЬЮ </w:t>
      </w:r>
    </w:p>
    <w:p w:rsidR="00BA00EC" w:rsidRDefault="00CE1C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«КРЫМСКАЯ ПЕРВАЯ СТРАХОВАЯ КОМПАНИЯ»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br/>
        <w:t>в отношении обработки и защиты персональных данных</w:t>
      </w:r>
    </w:p>
    <w:p w:rsidR="00BA00EC" w:rsidRDefault="00BA00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ap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Настоящая Политика в отношении обработки и защиты персональных данных (далее — Политика)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Общества с ограниченной ответственностью «Крымская первая страховая компания» разработана в соответствии с Федеральным законом РФ от 27.07.2006 № 152-ФЗ «О персональных данных» и направлена на исполнение требований законодательства Российской Федерации, ре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гулирующего сферу персональных данных, и обеспечение законных прав и свобод субъектов персональных данных.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Политика распространяется на все действия (операции) или совокупность действий (операций), совершаемых с использованием средств автоматизации или без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удаление, уничтожение персональных данных.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Правовое основание обработки персональных данных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с ограниченной ответственностью «Крымская первая страховая компания» (далее – Общество)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является оператором персональных данных согласно законодательст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 российской Федерации.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Правовым основанием обработки персональных данных в Обществе являются: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от 27.07.2006 №152-ФЗ «О персональных данных» (ст.1, 6, 22);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Трудовой кодекс Российской Федерации (Федеральный закон от 30.12.2001 №197-ФЗ, ст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.85-90);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Гражданский кодекс Российской Федерации (Федеральный закон от 26.01.1996 №14-ФЗ, гл. 48);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от 25.04.2002 №40-Ф3 «Об обязательном страховании гражданской ответственности владельцев транспортных средств»;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от 27.11.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1992 №4015-1-Ф3 «Об организации страхового дела в Российской Федерации»;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Федеральный закон от 07.08.2001 №115-ФЗ «О противодействии легализации (отмыванию) доходов, полученных преступным путем и финансированию терроризма» (ст.7);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Устав Общества с ограничен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ной ответственностью «Крымская первая страховая компания»;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Лицензии Центрального банка Российской Федерации, выданные Обществу на осуществление страховой деятельности.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Цели обработки персональных данных.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п.2 ст.5 №152-ФЗ «О персональных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данных» в Обществе определены следующие цели обработки персональных данных: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осуществление предпринимательской деятельности в сфере страхового дела, оказание услуг в области страхования;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страхования для обеспечения всесторонней защиты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имущественных прав и интересов граждан и юридических лиц на территории Российской Федерации и за ее пределами и иных видов деятельности, не запрещенных действующим законодательством;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исполнение трудового законодательства Российской Федерации, обеспечение к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адрового учета работников Общества;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осуществление финансово-хозяйственной деятельности.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Принципы обработки персональных данных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в Обществе осуществляется на основе следующих принципов: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осуществл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яется на законной и справедливой основе;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По достижен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ию цели обработка персональных данных должна быть прекращена, за исключением случаев, предусмотренных законодательством;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 допускается объединение баз данных, содержащих персональные данные, обработка которых осуществляется в целях, несовместимых между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собой;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обработке подлежат только персональные данные, которые отвечают целям их обработки;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ию к заявленным целям их обработки;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хранение персональных данных осу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обработки, или в случае утраты необходимости в достижении этих целей, если иное не пред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усмотрено федеральным законом.</w:t>
      </w:r>
    </w:p>
    <w:p w:rsidR="00BA00EC" w:rsidRDefault="00BA00EC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00EC" w:rsidRDefault="00CE1C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Субъекты и категории персональных данных.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Обществе обрабатываются персональные данные следующих категорий субъектов персональных данных: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работники Общества;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работники сторонних организаций, работающие по договорам подр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яда и оказания услуг, страховые агенты (работающие по агентским договорам);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физические лица - клиенты Общества, являющиеся страхователями, застрахованными, выгодоприобретателями или упомянутые в договоре страхования,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том числе: допущенные к управлению тр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анспортными средствами по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договорам добровольного страхования гражданской ответственности владельца транспортного средства, договорам страхования средств транспорта.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Общество осуществляет обработку специальных категорий персональных данных (состояние здоро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вья) в следующих случаях: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обработка персональных данных осуществляется в соответствии с </w:t>
      </w:r>
      <w:hyperlink r:id="rId7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 государственной социальной помощи, трудовым </w:t>
      </w:r>
      <w:hyperlink r:id="rId8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необходима для защиты жизни, здоровья или иных жизненно важных интере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осуществляется в медико-профилактических целях, в целях установл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9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 сохранять врачебную тайну;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необходима для установления или осуществления прав субъек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 персональных данных или третьих лиц, а равно и в связи с осуществлением правосудия;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Обеспечение защиты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персональных данных при их обработке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Безопасность персональных данных, обрабатываемых в Обществе, обеспечивается принятием правовых, организационных и технических мер, определенных Положением об обработке персональных данных в </w:t>
      </w:r>
      <w:r>
        <w:rPr>
          <w:rFonts w:ascii="Arial" w:hAnsi="Arial" w:cs="Arial"/>
          <w:sz w:val="24"/>
          <w:szCs w:val="24"/>
        </w:rPr>
        <w:t>Обществе с ограниченной ответ</w:t>
      </w:r>
      <w:r>
        <w:rPr>
          <w:rFonts w:ascii="Arial" w:hAnsi="Arial" w:cs="Arial"/>
          <w:sz w:val="24"/>
          <w:szCs w:val="24"/>
        </w:rPr>
        <w:t>ственностью «Крымская первая страховая компания»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</w:rPr>
        <w:t>Положением об организации и обеспечению защиты персональных данных Общества с ограниченной ответственностью «Крымская первая страховая компания» (утверждены Приказом Общества с ограниченной ответственность</w:t>
      </w:r>
      <w:r>
        <w:rPr>
          <w:rFonts w:ascii="Arial" w:hAnsi="Arial" w:cs="Arial"/>
          <w:sz w:val="24"/>
          <w:szCs w:val="24"/>
        </w:rPr>
        <w:t>ю «Крымская первая страховая компания» №2/1/1 от 02.06.2014г.).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Обеспечение Обществом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данных, а также от иных неправомерных действий в отношении персональных данных достигается в частности следующими принятыми мерами: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определены угрозы безопасности персональных данных при их обработке в информационных системах персональных данных;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применены организационные и технические меры безопасности персональных данных, соответствующие требованиям к защите персональных данных, установленным Правительством Российской Федерации к уровням защищенности персональных данных;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в составе системы защиты </w:t>
      </w:r>
      <w:r>
        <w:rPr>
          <w:rFonts w:ascii="Arial" w:hAnsi="Arial" w:cs="Arial"/>
          <w:sz w:val="26"/>
          <w:szCs w:val="26"/>
        </w:rPr>
        <w:t>информационных систем персональных данных применены прошедшие в установленном порядке процедуру оценки соответствия средства защиты информации;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произведена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осуществлен учет машинных носителей персональных данных;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осуществляется мониторинг событий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информационной безопасности с целью, обнаружения фактов несанкционированного доступа к персональным данным и принятия предупредительных мер защиты;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приняты технические и организационные меры для обеспечения восстановления персональных данных, модифициров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анных или уничтоженных вследствие несанкционированного доступа к ним;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установлены правила доступа к персональным данным, обрабатываемым в информационных системах персональных данных, а также обеспечена регистрация и учет всех действий, совершаемых с персо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нальными данными в информационных системах персональных данных; 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осуществляется 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Обеспечение конфиденциальности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персональных данных, обрабатывающихся в Обществе, является обязательным требованием для всех работников Общества, допущенных к обработке персональных данных в связи со служебной деятельностью. Все работники, имеющие действующие трудовые отношения, деятель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ность которых связана с получением, обработкой и защитой персональных данных, подписывают обязательство о неразглашении персональных данных, проходят инструктаж по обеспечению требований информационной безопасности под роспись и несут персональную ответств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енность за соблюдение требований по обработке и обеспечению безопасности персональных данных.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Права субъекта персональных данных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ч.7, ст.14 №152-ФЗ «О персональных данных» субъект персональных данных имеет право на получение следующих с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ведений: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подтверждение факта обработки персональных данных Обществом;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правовые основания и цели обработки персональных данных Обществом;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цели и применяемые Обществом  способы обработки персональных данных;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наименование и место нахождения Общества, сведения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 лицах (за исключением работников Общества),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обрабатываемые персональные данные, относя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сроки обработки персональных данных, в том числе сроки их хранения;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порядок осуществления субъек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том персональных данных прав, предусмотренных №152-ФЗ «О персональных данных»;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информацию об осуществленной или о предполагаемой трансграничной передаче данных;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наименование или фамилию, имя, отчество и адрес лица, осуществляющего обработку персональных да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нных по поручению Общества, если обработка поручена или будет поручена такому лицу;</w:t>
      </w:r>
    </w:p>
    <w:p w:rsidR="00BA00EC" w:rsidRDefault="00CE1CF3">
      <w:pPr>
        <w:pStyle w:val="a8"/>
        <w:numPr>
          <w:ilvl w:val="0"/>
          <w:numId w:val="13"/>
        </w:numPr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Доступ к сведениям, определенным ч.7, ст.14 №152-ФЗ «О персональных данных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 предоставляется субъекту персональных данных или его представителю на основании запроса.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умента и выдавшем его органе, сведения, подтверждающие участие субъекта персональных данных в отношениях с Обществом (номер договора, дата заключения договора, условное словесное обозначение и (или) иные сведения), либо сведения, иным образом подтверждающи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 факт обработки персональных данных Обществом,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Субъект персональных данных вправе требовать от Общества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 заявленной цели обработки, а также принимать предусмотренные законом меры по защите своих прав.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Условия передачи персональных данных третьим лицам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вправе поручить обработку персональных данных третьим лицам, только если это необходимо для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достижения целей обработки персональных данных и существенным условием договора является обязанность обеспечения третьей стороной конфиденциальности персональных данных и безопасности персональных данных при их обработке. Поручение обработки персональных д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анных третьим лицам без юридических обязательств третьего лица по соблюдению конфиденциальности и применению мер технической защиты персональных данных в соответствии с требованиями ст.19 №152-ФЗ «О персональных данных» не допускается.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Поручение обработки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Обществом персональных данных третьим лицам производится с согласия субъектов персональных данных, а также на иных законных основаниях.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Условия прекращения обработки персональных данных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случае достижения цели обработки персональных данных или в случае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отзыва субъектом персональных данных согласия на обработку его персональных данных Общество обязано прекратить обработку персональных данных или обеспечить ее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прекращение (если обработка персональных данных осуществляется другим лицом, действующим по пору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чению Общества)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ующим по поручению Общества) в срок, не превышающий тридцати дней с даты достижения цели обработки персональных данных (с даты поступления указанного отзыва), если иное не предусмотрено договором, стороной которого, выгодоприобретателем или поручителем по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которому является субъект персональных данных,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основаниях, предусмотренных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№152-ФЗ «О персональных данных» или другими федеральными законами.</w:t>
      </w:r>
    </w:p>
    <w:p w:rsidR="00BA00EC" w:rsidRDefault="00CE1CF3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Контактная информация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Контактная информация лиц, ответственных за рассмотрение жалоб и запросов: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Корпоративный сайт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www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kpsk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ins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раздел «</w:t>
      </w:r>
      <w:hyperlink r:id="rId10" w:history="1">
        <w:r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Контакты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info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kpsk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ins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электронная почта 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+7 (978) 099 83 81 – офисный мобильный телефон </w:t>
      </w:r>
    </w:p>
    <w:p w:rsidR="00BA00EC" w:rsidRDefault="00CE1CF3">
      <w:pPr>
        <w:spacing w:after="0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 (869) 255 30 28 – рабочий телефон</w:t>
      </w:r>
    </w:p>
    <w:sectPr w:rsidR="00BA00EC">
      <w:footerReference w:type="default" r:id="rId11"/>
      <w:pgSz w:w="11906" w:h="16838" w:code="9"/>
      <w:pgMar w:top="567" w:right="850" w:bottom="426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F3" w:rsidRDefault="00CE1CF3">
      <w:pPr>
        <w:spacing w:after="0" w:line="240" w:lineRule="auto"/>
      </w:pPr>
      <w:r>
        <w:separator/>
      </w:r>
    </w:p>
  </w:endnote>
  <w:endnote w:type="continuationSeparator" w:id="0">
    <w:p w:rsidR="00CE1CF3" w:rsidRDefault="00CE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653842"/>
      <w:docPartObj>
        <w:docPartGallery w:val="Page Numbers (Bottom of Page)"/>
        <w:docPartUnique/>
      </w:docPartObj>
    </w:sdtPr>
    <w:sdtEndPr/>
    <w:sdtContent>
      <w:p w:rsidR="00BA00EC" w:rsidRDefault="00CE1C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61">
          <w:rPr>
            <w:noProof/>
          </w:rPr>
          <w:t>6</w:t>
        </w:r>
        <w:r>
          <w:fldChar w:fldCharType="end"/>
        </w:r>
      </w:p>
    </w:sdtContent>
  </w:sdt>
  <w:p w:rsidR="00BA00EC" w:rsidRDefault="00BA00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F3" w:rsidRDefault="00CE1CF3">
      <w:pPr>
        <w:spacing w:after="0" w:line="240" w:lineRule="auto"/>
      </w:pPr>
      <w:r>
        <w:separator/>
      </w:r>
    </w:p>
  </w:footnote>
  <w:footnote w:type="continuationSeparator" w:id="0">
    <w:p w:rsidR="00CE1CF3" w:rsidRDefault="00CE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6A3"/>
    <w:multiLevelType w:val="multilevel"/>
    <w:tmpl w:val="2A5A480E"/>
    <w:lvl w:ilvl="0">
      <w:start w:val="1"/>
      <w:numFmt w:val="decimal"/>
      <w:pStyle w:val="1"/>
      <w:suff w:val="nothing"/>
      <w:lvlText w:val="%1  "/>
      <w:lvlJc w:val="left"/>
      <w:pPr>
        <w:ind w:left="-27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 "/>
      <w:lvlJc w:val="left"/>
      <w:pPr>
        <w:ind w:left="115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-27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1674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" w15:restartNumberingAfterBreak="0">
    <w:nsid w:val="230C4BFB"/>
    <w:multiLevelType w:val="hybridMultilevel"/>
    <w:tmpl w:val="5AD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2FD0"/>
    <w:multiLevelType w:val="multilevel"/>
    <w:tmpl w:val="E9A6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562A9"/>
    <w:multiLevelType w:val="hybridMultilevel"/>
    <w:tmpl w:val="6790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3F46"/>
    <w:multiLevelType w:val="multilevel"/>
    <w:tmpl w:val="1E7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5777F"/>
    <w:multiLevelType w:val="hybridMultilevel"/>
    <w:tmpl w:val="525C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63511"/>
    <w:multiLevelType w:val="hybridMultilevel"/>
    <w:tmpl w:val="123A8B8A"/>
    <w:lvl w:ilvl="0" w:tplc="FFFFFFFF">
      <w:start w:val="1"/>
      <w:numFmt w:val="none"/>
      <w:pStyle w:val="a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330A"/>
    <w:multiLevelType w:val="multilevel"/>
    <w:tmpl w:val="788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C6EFB"/>
    <w:multiLevelType w:val="multilevel"/>
    <w:tmpl w:val="B2E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30250"/>
    <w:multiLevelType w:val="hybridMultilevel"/>
    <w:tmpl w:val="0FB01BFE"/>
    <w:lvl w:ilvl="0" w:tplc="790E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F2250"/>
    <w:multiLevelType w:val="hybridMultilevel"/>
    <w:tmpl w:val="275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1115"/>
    <w:multiLevelType w:val="multilevel"/>
    <w:tmpl w:val="F18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A1920"/>
    <w:multiLevelType w:val="multilevel"/>
    <w:tmpl w:val="35F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EC"/>
    <w:rsid w:val="00AE0361"/>
    <w:rsid w:val="00BA00EC"/>
    <w:rsid w:val="00C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AAA53-2139-40F5-8752-0241CE6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s">
    <w:name w:val="styles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1"/>
  </w:style>
  <w:style w:type="character" w:customStyle="1" w:styleId="p">
    <w:name w:val="p"/>
    <w:basedOn w:val="a1"/>
  </w:style>
  <w:style w:type="character" w:styleId="a4">
    <w:name w:val="Emphasis"/>
    <w:basedOn w:val="a1"/>
    <w:uiPriority w:val="20"/>
    <w:qFormat/>
    <w:rPr>
      <w:i/>
      <w:iCs/>
    </w:rPr>
  </w:style>
  <w:style w:type="character" w:styleId="a5">
    <w:name w:val="Strong"/>
    <w:basedOn w:val="a1"/>
    <w:uiPriority w:val="22"/>
    <w:qFormat/>
    <w:rPr>
      <w:b/>
      <w:bCs/>
    </w:rPr>
  </w:style>
  <w:style w:type="paragraph" w:styleId="a6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</w:style>
  <w:style w:type="character" w:styleId="a7">
    <w:name w:val="Hyperlink"/>
    <w:basedOn w:val="a1"/>
    <w:uiPriority w:val="99"/>
    <w:unhideWhenUsed/>
    <w:rPr>
      <w:color w:val="0000FF"/>
      <w:u w:val="single"/>
    </w:rPr>
  </w:style>
  <w:style w:type="paragraph" w:styleId="a8">
    <w:name w:val="List Paragraph"/>
    <w:basedOn w:val="a0"/>
    <w:uiPriority w:val="34"/>
    <w:qFormat/>
    <w:pPr>
      <w:ind w:left="720"/>
      <w:contextualSpacing/>
    </w:pPr>
  </w:style>
  <w:style w:type="paragraph" w:customStyle="1" w:styleId="a">
    <w:name w:val="_Текст_Перечисление"/>
    <w:link w:val="a9"/>
    <w:uiPriority w:val="99"/>
    <w:pPr>
      <w:numPr>
        <w:numId w:val="1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a9">
    <w:name w:val="_Текст_Перечисление Знак"/>
    <w:link w:val="a"/>
    <w:uiPriority w:val="99"/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">
    <w:name w:val="_Заг.1"/>
    <w:next w:val="a0"/>
    <w:pPr>
      <w:pageBreakBefore/>
      <w:numPr>
        <w:numId w:val="14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2">
    <w:name w:val="_Заг.2"/>
    <w:next w:val="a0"/>
    <w:pPr>
      <w:numPr>
        <w:ilvl w:val="1"/>
        <w:numId w:val="14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3">
    <w:name w:val="_Заг.3"/>
    <w:next w:val="a0"/>
    <w:pPr>
      <w:numPr>
        <w:ilvl w:val="2"/>
        <w:numId w:val="14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11">
    <w:name w:val="_Заг1.подПункт"/>
    <w:pPr>
      <w:numPr>
        <w:ilvl w:val="4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0">
    <w:name w:val="_Заг1.Пункт"/>
    <w:pPr>
      <w:numPr>
        <w:ilvl w:val="3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21">
    <w:name w:val="_Заг2.подПункт"/>
    <w:pPr>
      <w:numPr>
        <w:ilvl w:val="6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20">
    <w:name w:val="_Заг2.Пункт"/>
    <w:pPr>
      <w:numPr>
        <w:ilvl w:val="5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1">
    <w:name w:val="_Заг3.подПункт"/>
    <w:pPr>
      <w:numPr>
        <w:ilvl w:val="8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0">
    <w:name w:val="_Заг3.Пункт"/>
    <w:pPr>
      <w:numPr>
        <w:ilvl w:val="7"/>
        <w:numId w:val="14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_Перечисление_а)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</w:style>
  <w:style w:type="paragraph" w:styleId="af">
    <w:name w:val="Balloon Text"/>
    <w:basedOn w:val="a0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02E87310EDEE9154F4D0A370245FD66B4319ECB815A9F7E10B3017c6x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802E87310EDEE9154F4D0A370245FD66A421AE6B615A9F7E10B3017c6x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gaz.ru/?form=feedback&amp;popup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13A50FC00AA1C7C0E3C9DFF737CD20CB165538FA3AC72CED48EF094D69731613C885E303833740C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Андрей Викторович</dc:creator>
  <cp:lastModifiedBy>Ланда Антон</cp:lastModifiedBy>
  <cp:revision>2</cp:revision>
  <cp:lastPrinted>2015-12-21T12:31:00Z</cp:lastPrinted>
  <dcterms:created xsi:type="dcterms:W3CDTF">2015-12-25T12:20:00Z</dcterms:created>
  <dcterms:modified xsi:type="dcterms:W3CDTF">2015-12-25T12:20:00Z</dcterms:modified>
</cp:coreProperties>
</file>